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884B0E3" w:rsidR="001321A1" w:rsidRPr="00102566" w:rsidRDefault="004E0B1B" w:rsidP="001321A1">
            <w:pPr>
              <w:pStyle w:val="Nadpis5"/>
              <w:rPr>
                <w:color w:val="FF0000"/>
                <w:sz w:val="24"/>
                <w:szCs w:val="24"/>
              </w:rPr>
            </w:pPr>
            <w:r w:rsidRPr="00B52DDE">
              <w:rPr>
                <w:bCs/>
              </w:rPr>
              <w:t>NPK, a.s., Litomyšlská nemocnice – Rekonstrukce operačních sálů</w:t>
            </w:r>
            <w:r>
              <w:rPr>
                <w:bCs/>
              </w:rPr>
              <w:t xml:space="preserve"> - znovuvyhlášení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F4CB397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Zjednodušené podlimitní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EEA745B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Služby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A62BB12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355"/>
        <w:gridCol w:w="2273"/>
        <w:gridCol w:w="2237"/>
        <w:gridCol w:w="2871"/>
      </w:tblGrid>
      <w:tr w:rsidR="001321A1" w14:paraId="55C8D823" w14:textId="77777777" w:rsidTr="00416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43314EA7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Položka</w:t>
            </w:r>
          </w:p>
        </w:tc>
        <w:tc>
          <w:tcPr>
            <w:tcW w:w="2273" w:type="dxa"/>
          </w:tcPr>
          <w:p w14:paraId="55A346C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bez DPH</w:t>
            </w:r>
          </w:p>
        </w:tc>
        <w:tc>
          <w:tcPr>
            <w:tcW w:w="2237" w:type="dxa"/>
          </w:tcPr>
          <w:p w14:paraId="73DEAED5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DPH</w:t>
            </w:r>
          </w:p>
        </w:tc>
        <w:tc>
          <w:tcPr>
            <w:tcW w:w="2871" w:type="dxa"/>
          </w:tcPr>
          <w:p w14:paraId="40E61538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včetně DPH</w:t>
            </w:r>
          </w:p>
        </w:tc>
      </w:tr>
      <w:tr w:rsidR="001321A1" w:rsidRPr="003075B1" w14:paraId="579E864F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1518ABE8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rPr>
                <w:rFonts w:eastAsia="CIDFont+F3" w:cstheme="minorHAnsi"/>
                <w:b/>
                <w:bCs/>
              </w:rPr>
            </w:pPr>
            <w:r w:rsidRPr="003075B1">
              <w:rPr>
                <w:rFonts w:eastAsia="CIDFont+F3" w:cstheme="minorHAnsi"/>
                <w:b/>
                <w:bCs/>
              </w:rPr>
              <w:t>Zpracování projektové dokumentace</w:t>
            </w:r>
            <w:r>
              <w:rPr>
                <w:rFonts w:eastAsia="CIDFont+F3" w:cstheme="minorHAnsi"/>
                <w:b/>
                <w:bCs/>
              </w:rPr>
              <w:t xml:space="preserve"> </w:t>
            </w:r>
            <w:r w:rsidRPr="003075B1">
              <w:rPr>
                <w:rFonts w:eastAsia="CIDFont+F3" w:cstheme="minorHAnsi"/>
                <w:b/>
                <w:bCs/>
              </w:rPr>
              <w:t>pro provádění stavby</w:t>
            </w:r>
            <w:r>
              <w:rPr>
                <w:rFonts w:eastAsia="CIDFont+F3" w:cstheme="minorHAnsi"/>
                <w:b/>
                <w:bCs/>
              </w:rPr>
              <w:t xml:space="preserve"> a součinnost při výběru zhotovitele  v rámci veřejné zakázky</w:t>
            </w:r>
          </w:p>
        </w:tc>
        <w:tc>
          <w:tcPr>
            <w:tcW w:w="2273" w:type="dxa"/>
          </w:tcPr>
          <w:p w14:paraId="6E879A0D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  <w:tc>
          <w:tcPr>
            <w:tcW w:w="2237" w:type="dxa"/>
          </w:tcPr>
          <w:p w14:paraId="632DDC75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  <w:tc>
          <w:tcPr>
            <w:tcW w:w="2871" w:type="dxa"/>
          </w:tcPr>
          <w:p w14:paraId="716F5861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</w:tr>
      <w:tr w:rsidR="001321A1" w14:paraId="6FF0A368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77937550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Výkon autorského dozoru</w:t>
            </w:r>
          </w:p>
        </w:tc>
        <w:tc>
          <w:tcPr>
            <w:tcW w:w="2273" w:type="dxa"/>
          </w:tcPr>
          <w:p w14:paraId="6F087E7D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  <w:tc>
          <w:tcPr>
            <w:tcW w:w="2237" w:type="dxa"/>
          </w:tcPr>
          <w:p w14:paraId="33E967FD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  <w:tc>
          <w:tcPr>
            <w:tcW w:w="2871" w:type="dxa"/>
          </w:tcPr>
          <w:p w14:paraId="1C47220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</w:tr>
      <w:tr w:rsidR="001321A1" w14:paraId="2B7494AA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7DB9B035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lastRenderedPageBreak/>
              <w:t>Cena celkem bez DPH</w:t>
            </w:r>
            <w:r>
              <w:rPr>
                <w:rStyle w:val="Znakapoznpodarou"/>
                <w:rFonts w:cs="Segoe UI"/>
                <w:b/>
                <w:color w:val="auto"/>
                <w:shd w:val="clear" w:color="auto" w:fill="auto"/>
              </w:rPr>
              <w:footnoteReference w:id="2"/>
            </w:r>
          </w:p>
        </w:tc>
        <w:tc>
          <w:tcPr>
            <w:tcW w:w="7381" w:type="dxa"/>
            <w:gridSpan w:val="3"/>
            <w:shd w:val="clear" w:color="auto" w:fill="FFFF00"/>
          </w:tcPr>
          <w:p w14:paraId="57A9E2F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CIDFont+F3">
    <w:altName w:val="Yu Gothic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  <w:footnote w:id="2">
    <w:p w14:paraId="3278186C" w14:textId="77777777" w:rsidR="001321A1" w:rsidRDefault="001321A1" w:rsidP="001321A1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0B1B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F997E-0A01-4F5A-BE83-8CB20DED6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593E2-7320-47BA-8C60-FDFE909679B0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4B0E64-88BF-4113-AACC-D1035450E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2024-02-13T16:47:00Z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